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6EC48" w14:textId="77777777" w:rsidR="002C2590" w:rsidRDefault="002C2590" w:rsidP="002C2590">
      <w:pPr>
        <w:pStyle w:val="Intestazione"/>
        <w:jc w:val="center"/>
        <w:rPr>
          <w:b/>
          <w:color w:val="008000"/>
        </w:rPr>
      </w:pPr>
      <w:r>
        <w:rPr>
          <w:b/>
          <w:color w:val="008000"/>
        </w:rPr>
        <w:t>The small biostatistician</w:t>
      </w:r>
    </w:p>
    <w:p w14:paraId="3F033570" w14:textId="77777777" w:rsidR="002C2590" w:rsidRDefault="002C2590" w:rsidP="002C2590">
      <w:pPr>
        <w:rPr>
          <w:b/>
          <w:bdr w:val="single" w:sz="8" w:space="0" w:color="auto"/>
        </w:rPr>
      </w:pPr>
    </w:p>
    <w:p w14:paraId="7925D4C3" w14:textId="77777777" w:rsidR="002C2590" w:rsidRDefault="002C2590" w:rsidP="002C2590">
      <w:pPr>
        <w:rPr>
          <w:b/>
        </w:rPr>
      </w:pPr>
      <w:r>
        <w:rPr>
          <w:b/>
          <w:bdr w:val="single" w:sz="8" w:space="0" w:color="auto"/>
        </w:rPr>
        <w:t>STATISTICA DESCRITTIVA</w:t>
      </w:r>
      <w:r>
        <w:t xml:space="preserve"> </w:t>
      </w:r>
      <w:r>
        <w:rPr>
          <w:b/>
        </w:rPr>
        <w:t>Descrive i dati.</w:t>
      </w:r>
    </w:p>
    <w:p w14:paraId="3B603D31" w14:textId="77777777" w:rsidR="002C2590" w:rsidRDefault="002C2590" w:rsidP="002C2590">
      <w:pPr>
        <w:rPr>
          <w:i/>
        </w:rPr>
      </w:pPr>
      <w:r>
        <w:rPr>
          <w:b/>
          <w:color w:val="008000"/>
        </w:rPr>
        <w:t>Variabile nominale</w:t>
      </w:r>
      <w:r w:rsidRPr="001F711F">
        <w:rPr>
          <w:bCs/>
          <w:color w:val="008000"/>
        </w:rPr>
        <w:t>:</w:t>
      </w:r>
      <w:r>
        <w:rPr>
          <w:b/>
        </w:rPr>
        <w:t xml:space="preserve"> categorie</w:t>
      </w:r>
      <w:r>
        <w:t xml:space="preserve"> con nomi distinti, </w:t>
      </w:r>
      <w:r>
        <w:rPr>
          <w:i/>
        </w:rPr>
        <w:t>tra le quali non è possibile stabilire un criterio di ordinamento logico.</w:t>
      </w:r>
    </w:p>
    <w:p w14:paraId="7618607B" w14:textId="77777777" w:rsidR="002C2590" w:rsidRDefault="002C2590" w:rsidP="002C2590">
      <w:pPr>
        <w:rPr>
          <w:i/>
        </w:rPr>
      </w:pPr>
      <w:r>
        <w:rPr>
          <w:b/>
          <w:color w:val="0000FF"/>
        </w:rPr>
        <w:t>Variabile ordinale</w:t>
      </w:r>
      <w:r w:rsidRPr="001F711F">
        <w:rPr>
          <w:bCs/>
          <w:color w:val="0000FF"/>
        </w:rPr>
        <w:t>:</w:t>
      </w:r>
      <w:r>
        <w:rPr>
          <w:b/>
        </w:rPr>
        <w:t xml:space="preserve"> serie ordinata di categorie,</w:t>
      </w:r>
      <w:r>
        <w:t xml:space="preserve"> </w:t>
      </w:r>
      <w:r>
        <w:rPr>
          <w:i/>
        </w:rPr>
        <w:t>la differenza tra le quali non può essere considerata costante.</w:t>
      </w:r>
    </w:p>
    <w:p w14:paraId="203A4D2A" w14:textId="77777777" w:rsidR="002C2590" w:rsidRDefault="002C2590" w:rsidP="002C2590">
      <w:pPr>
        <w:rPr>
          <w:b/>
        </w:rPr>
      </w:pPr>
      <w:r>
        <w:rPr>
          <w:b/>
          <w:color w:val="FF0000"/>
        </w:rPr>
        <w:t>Variabile di intervallo</w:t>
      </w:r>
      <w:r w:rsidRPr="001F711F">
        <w:rPr>
          <w:bCs/>
          <w:color w:val="FF0000"/>
        </w:rPr>
        <w:t>:</w:t>
      </w:r>
      <w:r>
        <w:t xml:space="preserve"> i valori possibili si presentano a </w:t>
      </w:r>
      <w:r>
        <w:rPr>
          <w:b/>
        </w:rPr>
        <w:t>intervalli uguali.</w:t>
      </w:r>
    </w:p>
    <w:p w14:paraId="77AF0F1C" w14:textId="77777777" w:rsidR="002C2590" w:rsidRDefault="002C2590" w:rsidP="002C2590">
      <w:r>
        <w:rPr>
          <w:u w:val="single"/>
        </w:rPr>
        <w:t>Grafico a barre</w:t>
      </w:r>
      <w:r>
        <w:t xml:space="preserve">: dati categorici. </w:t>
      </w:r>
      <w:r>
        <w:rPr>
          <w:u w:val="single"/>
        </w:rPr>
        <w:t>Istogramma</w:t>
      </w:r>
      <w:r>
        <w:t>: dati continui.</w:t>
      </w:r>
      <w:r>
        <w:tab/>
      </w:r>
      <w:r>
        <w:tab/>
      </w:r>
      <w:r>
        <w:tab/>
      </w:r>
      <w:r>
        <w:tab/>
        <w:t>X = valore di una variabile per un soggetto. Numerosità: numero di soggetti.</w:t>
      </w:r>
    </w:p>
    <w:p w14:paraId="11E3909F" w14:textId="77777777" w:rsidR="002C2590" w:rsidRDefault="002C2590" w:rsidP="002C2590">
      <w:pPr>
        <w:rPr>
          <w:i/>
        </w:rPr>
      </w:pPr>
      <w:r>
        <w:t xml:space="preserve">n = numerosità di un gruppo del campione. N = numerosità dell'intero campione (somma delle numerosità dei gruppi). Nota: </w:t>
      </w:r>
      <w:r>
        <w:rPr>
          <w:i/>
        </w:rPr>
        <w:t>non vi è accordo su queste sigle.</w:t>
      </w:r>
    </w:p>
    <w:p w14:paraId="622FE985" w14:textId="77777777" w:rsidR="002C2590" w:rsidRDefault="002C2590" w:rsidP="002C2590">
      <w:r>
        <w:rPr>
          <w:b/>
          <w:u w:val="single"/>
        </w:rPr>
        <w:t>INDICI DI TENDENZA CENTRALE</w:t>
      </w:r>
      <w:r>
        <w:t xml:space="preserve"> - valori "tipici" con cui possiamo riassumere i dati.</w:t>
      </w:r>
    </w:p>
    <w:p w14:paraId="631E7146" w14:textId="77777777" w:rsidR="002C2590" w:rsidRDefault="002C2590" w:rsidP="002C2590">
      <w:r>
        <w:rPr>
          <w:b/>
          <w:color w:val="FF0000"/>
        </w:rPr>
        <w:t>Media</w:t>
      </w:r>
      <w:r w:rsidRPr="001F711F">
        <w:rPr>
          <w:bCs/>
          <w:color w:val="FF0000"/>
        </w:rPr>
        <w:t>:</w:t>
      </w:r>
      <w:r>
        <w:t xml:space="preserve"> </w:t>
      </w:r>
      <w:r>
        <w:tab/>
        <w:t>la media (aritmetica) è l'indice di tendenza centrale per dati di intervallo</w:t>
      </w:r>
      <w:r>
        <w:tab/>
        <w:t>(</w:t>
      </w:r>
      <w:r>
        <w:rPr>
          <w:i/>
        </w:rPr>
        <w:t>somma dei valori di ogni elemento della popolazione / numero di elementi</w:t>
      </w:r>
      <w:r>
        <w:t>)</w:t>
      </w:r>
    </w:p>
    <w:p w14:paraId="21EC8218" w14:textId="77777777" w:rsidR="002C2590" w:rsidRDefault="002C2590" w:rsidP="002C2590">
      <w:r>
        <w:rPr>
          <w:b/>
          <w:color w:val="0000FF"/>
        </w:rPr>
        <w:t>Mediana</w:t>
      </w:r>
      <w:r w:rsidRPr="001F711F">
        <w:rPr>
          <w:bCs/>
          <w:color w:val="0000FF"/>
        </w:rPr>
        <w:t>:</w:t>
      </w:r>
      <w:r>
        <w:rPr>
          <w:b/>
          <w:color w:val="0000FF"/>
        </w:rPr>
        <w:t xml:space="preserve"> </w:t>
      </w:r>
      <w:r>
        <w:rPr>
          <w:b/>
          <w:color w:val="0000FF"/>
        </w:rPr>
        <w:tab/>
      </w:r>
      <w:r>
        <w:t>indice di tendenza centrale per dati ordinali</w:t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i/>
        </w:rPr>
        <w:t>valore rispetto al quale il 50% dei valori risulta superiore e l’altro 50% inferiore</w:t>
      </w:r>
      <w:r>
        <w:t>)</w:t>
      </w:r>
    </w:p>
    <w:p w14:paraId="09478945" w14:textId="0C16B5DA" w:rsidR="002C2590" w:rsidRDefault="002C2590" w:rsidP="002C2590">
      <w:pPr>
        <w:rPr>
          <w:b/>
          <w:color w:val="0000FF"/>
        </w:rPr>
      </w:pPr>
      <w:r>
        <w:rPr>
          <w:b/>
          <w:color w:val="008000"/>
        </w:rPr>
        <w:t>Moda</w:t>
      </w:r>
      <w:r w:rsidR="003B4ED8" w:rsidRPr="001F711F">
        <w:rPr>
          <w:bCs/>
          <w:color w:val="008000"/>
        </w:rPr>
        <w:t>:</w:t>
      </w:r>
      <w:r>
        <w:rPr>
          <w:b/>
          <w:color w:val="0000FF"/>
        </w:rPr>
        <w:t xml:space="preserve"> </w:t>
      </w:r>
      <w:r>
        <w:rPr>
          <w:b/>
          <w:color w:val="0000FF"/>
        </w:rPr>
        <w:tab/>
      </w:r>
      <w:r>
        <w:t>indice di tendenza per dati nominali</w:t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i/>
        </w:rPr>
        <w:t>categoria che si presenta con maggior frequenza</w:t>
      </w:r>
      <w:r>
        <w:t xml:space="preserve">) (se sono 2: </w:t>
      </w:r>
      <w:r>
        <w:rPr>
          <w:i/>
        </w:rPr>
        <w:t>distribuzione bimodale</w:t>
      </w:r>
      <w:r>
        <w:t>)</w:t>
      </w:r>
    </w:p>
    <w:p w14:paraId="1869D889" w14:textId="77777777" w:rsidR="002C2590" w:rsidRDefault="002C2590" w:rsidP="002C2590">
      <w:r>
        <w:rPr>
          <w:b/>
          <w:u w:val="single"/>
        </w:rPr>
        <w:t>INDICI DI DISPERSIONE</w:t>
      </w:r>
      <w:r>
        <w:t xml:space="preserve"> - indicano quanto i dati si raggruppano strettamente intorno alle misure di tendenza centrale.</w:t>
      </w:r>
    </w:p>
    <w:p w14:paraId="2FA4C9A6" w14:textId="77777777" w:rsidR="002C2590" w:rsidRDefault="002C2590" w:rsidP="002C2590">
      <w:r>
        <w:rPr>
          <w:b/>
          <w:color w:val="FF0000"/>
        </w:rPr>
        <w:t>Deviazione standard</w:t>
      </w:r>
      <w:r w:rsidRPr="001F711F">
        <w:rPr>
          <w:bCs/>
          <w:color w:val="FF0000"/>
        </w:rPr>
        <w:t>:</w:t>
      </w:r>
      <w:r>
        <w:t xml:space="preserve"> </w:t>
      </w:r>
      <w:r>
        <w:tab/>
      </w:r>
      <w:r>
        <w:tab/>
      </w:r>
      <w:r>
        <w:rPr>
          <w:i/>
        </w:rPr>
        <w:t>radice quadrata della varianza</w:t>
      </w:r>
      <w:r>
        <w:t xml:space="preserve"> (la </w:t>
      </w:r>
      <w:r>
        <w:rPr>
          <w:b/>
          <w:color w:val="FF0000"/>
        </w:rPr>
        <w:t>varianza</w:t>
      </w:r>
      <w:r>
        <w:t xml:space="preserve"> è la media del quadrato degli scarti di ogni valore rispetto alla media).</w:t>
      </w:r>
    </w:p>
    <w:p w14:paraId="5FD8C2E3" w14:textId="77777777" w:rsidR="002C2590" w:rsidRDefault="002C2590" w:rsidP="002C2590">
      <w:r>
        <w:rPr>
          <w:b/>
          <w:color w:val="0000FF"/>
        </w:rPr>
        <w:t>Intervallo minimo-massimo</w:t>
      </w:r>
      <w:r w:rsidRPr="001F711F">
        <w:rPr>
          <w:bCs/>
          <w:color w:val="0000FF"/>
        </w:rPr>
        <w:t>:</w:t>
      </w:r>
      <w:r>
        <w:t xml:space="preserve"> </w:t>
      </w:r>
      <w:r>
        <w:tab/>
      </w:r>
      <w:r>
        <w:rPr>
          <w:i/>
        </w:rPr>
        <w:t>differenza tra il valore massimo e quello minimo</w:t>
      </w:r>
      <w:r>
        <w:t xml:space="preserve"> - è sempre un numero solo.</w:t>
      </w:r>
    </w:p>
    <w:p w14:paraId="19B979A6" w14:textId="71903979" w:rsidR="002C2590" w:rsidRDefault="002C2590" w:rsidP="002C2590">
      <w:r>
        <w:rPr>
          <w:b/>
          <w:color w:val="0000FF"/>
        </w:rPr>
        <w:t>Intervallo interquartile</w:t>
      </w:r>
      <w:r w:rsidR="003B4ED8" w:rsidRPr="001F711F">
        <w:rPr>
          <w:bCs/>
          <w:color w:val="0000FF"/>
        </w:rPr>
        <w:t>:</w:t>
      </w:r>
      <w:r>
        <w:t xml:space="preserve"> </w:t>
      </w:r>
      <w:r>
        <w:tab/>
      </w:r>
      <w:r>
        <w:tab/>
        <w:t>(</w:t>
      </w:r>
      <w:r>
        <w:rPr>
          <w:i/>
        </w:rPr>
        <w:t>midspread</w:t>
      </w:r>
      <w:r>
        <w:t xml:space="preserve">): </w:t>
      </w:r>
      <w:r>
        <w:rPr>
          <w:i/>
        </w:rPr>
        <w:t>differenza tra quartile superiore e inferiore</w:t>
      </w:r>
      <w:r w:rsidR="003B4ED8">
        <w:t xml:space="preserve"> </w:t>
      </w:r>
      <w:r>
        <w:t>(comprende il 50% centrale dei dati).</w:t>
      </w:r>
    </w:p>
    <w:p w14:paraId="7B7CA074" w14:textId="77777777" w:rsidR="002C2590" w:rsidRDefault="002C2590" w:rsidP="002C2590">
      <w:r>
        <w:rPr>
          <w:b/>
          <w:bdr w:val="single" w:sz="8" w:space="0" w:color="auto"/>
        </w:rPr>
        <w:t xml:space="preserve">STATISTICA INFERENZIALE </w:t>
      </w:r>
      <w:r>
        <w:t xml:space="preserve">  </w:t>
      </w:r>
      <w:r>
        <w:rPr>
          <w:b/>
        </w:rPr>
        <w:t>Stabilisce la probabilità che una deduzione basata sui dati (raccolti per un campione) sia corretta.</w:t>
      </w:r>
    </w:p>
    <w:p w14:paraId="77248975" w14:textId="77777777" w:rsidR="002C2590" w:rsidRDefault="002C2590" w:rsidP="002C2590">
      <w:r>
        <w:t xml:space="preserve">Il </w:t>
      </w:r>
      <w:r>
        <w:rPr>
          <w:b/>
        </w:rPr>
        <w:t>campione</w:t>
      </w:r>
      <w:r>
        <w:t xml:space="preserve"> è costituito dai soggetti sotto osservazione. La </w:t>
      </w:r>
      <w:r>
        <w:rPr>
          <w:b/>
        </w:rPr>
        <w:t>popolazione</w:t>
      </w:r>
      <w:r>
        <w:t xml:space="preserve"> descrive gli ipotetici (e di solito infiniti) soggetti di interesse per lo studio.</w:t>
      </w:r>
    </w:p>
    <w:p w14:paraId="4FBA4F81" w14:textId="77777777" w:rsidR="002C2590" w:rsidRDefault="002C2590" w:rsidP="002C2590">
      <w:r>
        <w:rPr>
          <w:i/>
        </w:rPr>
        <w:t>Il punto chiave è la quantificazione del livello di imprecisione della stima basata sui dati ottenuti dal campione</w:t>
      </w:r>
      <w:r>
        <w:t xml:space="preserve">. </w:t>
      </w:r>
    </w:p>
    <w:p w14:paraId="3988E766" w14:textId="77777777" w:rsidR="002C2590" w:rsidRDefault="002C2590" w:rsidP="002C2590">
      <w:r>
        <w:rPr>
          <w:b/>
        </w:rPr>
        <w:t>Ipotesi nulla</w:t>
      </w:r>
      <w:r w:rsidRPr="001F711F">
        <w:rPr>
          <w:bCs/>
        </w:rPr>
        <w:t>:</w:t>
      </w:r>
      <w:r>
        <w:t xml:space="preserve"> non c'è differenza tra il campione e la popolazione.</w:t>
      </w:r>
    </w:p>
    <w:p w14:paraId="5421FE3C" w14:textId="77777777" w:rsidR="002C2590" w:rsidRDefault="002C2590" w:rsidP="002C2590">
      <w:r>
        <w:rPr>
          <w:b/>
        </w:rPr>
        <w:t>Errore standard della media</w:t>
      </w:r>
      <w:r w:rsidRPr="001F711F">
        <w:rPr>
          <w:bCs/>
        </w:rPr>
        <w:t>:</w:t>
      </w:r>
      <w:r>
        <w:t xml:space="preserve"> </w:t>
      </w:r>
      <w:r>
        <w:rPr>
          <w:i/>
        </w:rPr>
        <w:t>deviazione standard delle medie di campioni casuali (di una data numerosità) estratti dalla popolazione.</w:t>
      </w:r>
    </w:p>
    <w:p w14:paraId="372316E5" w14:textId="77777777" w:rsidR="002C2590" w:rsidRDefault="002C2590" w:rsidP="002C2590">
      <w:r>
        <w:rPr>
          <w:i/>
        </w:rPr>
        <w:tab/>
        <w:t>P</w:t>
      </w:r>
      <w:r>
        <w:t xml:space="preserve"> (oppure </w:t>
      </w:r>
      <w:r>
        <w:rPr>
          <w:i/>
        </w:rPr>
        <w:t>p</w:t>
      </w:r>
      <w:r>
        <w:t xml:space="preserve">) = </w:t>
      </w:r>
      <w:r>
        <w:rPr>
          <w:u w:val="single"/>
        </w:rPr>
        <w:t>probabilità di sbagliare affermando che esiste una differenza reale (ossia rifiutando l'ipotesi nulla).</w:t>
      </w:r>
      <w:r>
        <w:t xml:space="preserve"> </w:t>
      </w:r>
    </w:p>
    <w:p w14:paraId="58321386" w14:textId="77777777" w:rsidR="002C2590" w:rsidRDefault="002C2590" w:rsidP="002C2590">
      <w:pPr>
        <w:rPr>
          <w:i/>
        </w:rPr>
      </w:pPr>
      <w:r>
        <w:rPr>
          <w:i/>
        </w:rPr>
        <w:tab/>
        <w:t>p</w:t>
      </w:r>
      <w:r>
        <w:t>=0,05: c'è differenz</w:t>
      </w:r>
      <w:r>
        <w:rPr>
          <w:i/>
        </w:rPr>
        <w:t>a, oppure si è verificata una coincidenza che non si verifica più di una volta ogni 20 esperimenti.</w:t>
      </w:r>
    </w:p>
    <w:p w14:paraId="1423EEB3" w14:textId="77777777" w:rsidR="002C2590" w:rsidRDefault="002C2590" w:rsidP="002C2590">
      <w:r>
        <w:tab/>
      </w:r>
      <w:r>
        <w:rPr>
          <w:u w:val="single"/>
        </w:rPr>
        <w:t>Per convenzione</w:t>
      </w:r>
      <w:r>
        <w:t xml:space="preserve">, se </w:t>
      </w:r>
      <w:r>
        <w:rPr>
          <w:i/>
        </w:rPr>
        <w:t>p</w:t>
      </w:r>
      <w:r>
        <w:t xml:space="preserve">&lt;0,05 la differenza è statisticamente significativa; se </w:t>
      </w:r>
      <w:r>
        <w:rPr>
          <w:i/>
        </w:rPr>
        <w:t>p</w:t>
      </w:r>
      <w:r>
        <w:t xml:space="preserve">&lt;0,01 la differenza è altamente significativa. </w:t>
      </w:r>
    </w:p>
    <w:p w14:paraId="4188F589" w14:textId="77777777" w:rsidR="002C2590" w:rsidRDefault="002C2590" w:rsidP="002C2590">
      <w:r>
        <w:tab/>
        <w:t>Una differenza statisticamente significativa può non essere clinicamente significativa.</w:t>
      </w:r>
    </w:p>
    <w:p w14:paraId="3E405E90" w14:textId="77777777" w:rsidR="002C2590" w:rsidRDefault="002C2590" w:rsidP="002C2590">
      <w:r>
        <w:tab/>
        <w:t xml:space="preserve">Test a due code: valuta qualsiasi differenza tra i gruppi, indipendentemente dalla </w:t>
      </w:r>
      <w:r>
        <w:rPr>
          <w:i/>
        </w:rPr>
        <w:t>direzione</w:t>
      </w:r>
      <w:r>
        <w:t xml:space="preserve"> della differenza stessa.</w:t>
      </w:r>
    </w:p>
    <w:p w14:paraId="46789354" w14:textId="77777777" w:rsidR="002C2590" w:rsidRDefault="002C2590" w:rsidP="002C2590">
      <w:r>
        <w:tab/>
      </w:r>
      <w:r w:rsidRPr="00CD6242">
        <w:rPr>
          <w:u w:val="single"/>
        </w:rPr>
        <w:t>Intervallo di confidenza (C.I.)</w:t>
      </w:r>
      <w:r>
        <w:t xml:space="preserve"> [intorno alla media]: limiti (inferiore e superiore) entro i quali è compresa con il (95)% di probabilità [la media della popolazione].</w:t>
      </w:r>
    </w:p>
    <w:p w14:paraId="1AB8CF44" w14:textId="0EC21B31" w:rsidR="002C2590" w:rsidRDefault="002C2590" w:rsidP="002C2590">
      <w:pPr>
        <w:ind w:right="-179"/>
      </w:pPr>
      <w:r>
        <w:rPr>
          <w:b/>
        </w:rPr>
        <w:t>Errore di tipo I</w:t>
      </w:r>
      <w:r w:rsidRPr="001F711F">
        <w:rPr>
          <w:bCs/>
        </w:rPr>
        <w:t>:</w:t>
      </w:r>
      <w:r>
        <w:rPr>
          <w:b/>
        </w:rPr>
        <w:tab/>
      </w:r>
      <w:r>
        <w:t xml:space="preserve">affermare che </w:t>
      </w:r>
      <w:r>
        <w:rPr>
          <w:i/>
        </w:rPr>
        <w:t>esiste</w:t>
      </w:r>
      <w:r>
        <w:t xml:space="preserve"> una differenza significativa quando non è vero.</w:t>
      </w:r>
      <w:r>
        <w:tab/>
      </w:r>
      <w:r>
        <w:tab/>
        <w:t>Misurato dalla probabilità alfa (</w:t>
      </w:r>
      <w:r>
        <w:rPr>
          <w:rFonts w:ascii="Symbol" w:hAnsi="Symbol"/>
          <w:b/>
        </w:rPr>
        <w:t></w:t>
      </w:r>
      <w:r>
        <w:t>).</w:t>
      </w:r>
      <w:r>
        <w:tab/>
        <w:t xml:space="preserve">Spesso si sceglie </w:t>
      </w:r>
      <w:r>
        <w:rPr>
          <w:rFonts w:ascii="Symbol" w:hAnsi="Symbol"/>
          <w:b/>
        </w:rPr>
        <w:t></w:t>
      </w:r>
      <w:r>
        <w:t>=0,05</w:t>
      </w:r>
    </w:p>
    <w:p w14:paraId="3EF41DB3" w14:textId="77777777" w:rsidR="002C2590" w:rsidRDefault="002C2590" w:rsidP="002C2590">
      <w:pPr>
        <w:ind w:right="-179"/>
      </w:pPr>
      <w:r>
        <w:rPr>
          <w:b/>
        </w:rPr>
        <w:t>Errore di tipo II</w:t>
      </w:r>
      <w:r w:rsidRPr="001F711F">
        <w:rPr>
          <w:bCs/>
        </w:rPr>
        <w:t>:</w:t>
      </w:r>
      <w:r>
        <w:tab/>
        <w:t xml:space="preserve">affermare che </w:t>
      </w:r>
      <w:r>
        <w:rPr>
          <w:i/>
        </w:rPr>
        <w:t>non esiste</w:t>
      </w:r>
      <w:r>
        <w:t xml:space="preserve"> una differenza significativa quando invece essa esiste.</w:t>
      </w:r>
      <w:r>
        <w:tab/>
        <w:t>Misurato dalla probabilità beta (</w:t>
      </w:r>
      <w:r>
        <w:rPr>
          <w:rFonts w:ascii="Symbol" w:hAnsi="Symbol"/>
          <w:b/>
        </w:rPr>
        <w:t></w:t>
      </w:r>
      <w:r>
        <w:t>).</w:t>
      </w:r>
      <w:r>
        <w:tab/>
        <w:t xml:space="preserve">Spesso si sceglie </w:t>
      </w:r>
      <w:r>
        <w:rPr>
          <w:rFonts w:ascii="Symbol" w:hAnsi="Symbol"/>
          <w:b/>
        </w:rPr>
        <w:t></w:t>
      </w:r>
      <w:r>
        <w:t>=0,20</w:t>
      </w:r>
    </w:p>
    <w:p w14:paraId="36242622" w14:textId="2908A046" w:rsidR="002C2590" w:rsidRDefault="002C2590" w:rsidP="002C2590">
      <w:r>
        <w:rPr>
          <w:b/>
        </w:rPr>
        <w:t>Potenza</w:t>
      </w:r>
      <w:r w:rsidRPr="001F711F">
        <w:rPr>
          <w:bCs/>
        </w:rPr>
        <w:t>:</w:t>
      </w:r>
      <w:r>
        <w:t xml:space="preserve"> </w:t>
      </w:r>
      <w:r>
        <w:tab/>
      </w:r>
      <w:r w:rsidR="001F711F">
        <w:tab/>
      </w:r>
      <w:r>
        <w:t>probabilità di concludere che c'è una differenza quando di fatto la differenza c'è davvero</w:t>
      </w:r>
      <w:r w:rsidR="003B4ED8">
        <w:tab/>
      </w:r>
      <w:r>
        <w:t>(=1-</w:t>
      </w:r>
      <w:r>
        <w:rPr>
          <w:rFonts w:ascii="Symbol" w:hAnsi="Symbol"/>
        </w:rPr>
        <w:t></w:t>
      </w:r>
      <w:r>
        <w:t xml:space="preserve">). </w:t>
      </w:r>
    </w:p>
    <w:p w14:paraId="409A87D0" w14:textId="3038788C" w:rsidR="003B4ED8" w:rsidRDefault="002C2590" w:rsidP="002C2590">
      <w:r>
        <w:tab/>
      </w:r>
      <w:r>
        <w:tab/>
      </w:r>
      <w:r w:rsidR="001F711F">
        <w:tab/>
      </w:r>
      <w:r w:rsidR="003B4ED8">
        <w:t>È</w:t>
      </w:r>
      <w:r>
        <w:t xml:space="preserve"> in relazione con l'</w:t>
      </w:r>
      <w:r>
        <w:rPr>
          <w:i/>
        </w:rPr>
        <w:t>entità della differenza</w:t>
      </w:r>
      <w:r>
        <w:t xml:space="preserve"> che si vuole rilevare e </w:t>
      </w:r>
      <w:r w:rsidR="003B4ED8">
        <w:t xml:space="preserve">con </w:t>
      </w:r>
      <w:r>
        <w:t xml:space="preserve">la </w:t>
      </w:r>
      <w:r>
        <w:rPr>
          <w:i/>
        </w:rPr>
        <w:t>numerosità</w:t>
      </w:r>
      <w:r>
        <w:t xml:space="preserve"> del campione.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2551"/>
        <w:gridCol w:w="2402"/>
        <w:gridCol w:w="2268"/>
        <w:gridCol w:w="2268"/>
        <w:gridCol w:w="2551"/>
        <w:gridCol w:w="1670"/>
      </w:tblGrid>
      <w:tr w:rsidR="002C2590" w14:paraId="2A2F6E2B" w14:textId="77777777" w:rsidTr="00266E07">
        <w:tc>
          <w:tcPr>
            <w:tcW w:w="2943" w:type="dxa"/>
          </w:tcPr>
          <w:p w14:paraId="24E6E124" w14:textId="77777777" w:rsidR="002C2590" w:rsidRDefault="002C2590" w:rsidP="00266E07">
            <w:pPr>
              <w:rPr>
                <w:lang w:bidi="x-none"/>
              </w:rPr>
            </w:pPr>
            <w:r w:rsidRPr="00D02D62">
              <w:rPr>
                <w:b/>
                <w:highlight w:val="yellow"/>
                <w:lang w:bidi="x-none"/>
              </w:rPr>
              <w:t>Scelta del test:</w:t>
            </w:r>
            <w:r>
              <w:rPr>
                <w:lang w:bidi="x-none"/>
              </w:rPr>
              <w:t xml:space="preserve"> soggetti? </w:t>
            </w:r>
            <w:r>
              <w:rPr>
                <w:lang w:bidi="x-none"/>
              </w:rPr>
              <w:sym w:font="Symbol" w:char="F0AE"/>
            </w:r>
          </w:p>
          <w:p w14:paraId="4857EE5B" w14:textId="77777777" w:rsidR="002C2590" w:rsidRDefault="002C2590" w:rsidP="00266E07">
            <w:pPr>
              <w:rPr>
                <w:lang w:bidi="x-none"/>
              </w:rPr>
            </w:pPr>
            <w:r>
              <w:rPr>
                <w:lang w:bidi="x-none"/>
              </w:rPr>
              <w:t xml:space="preserve">variabili? </w:t>
            </w:r>
            <w:r>
              <w:rPr>
                <w:lang w:bidi="x-none"/>
              </w:rPr>
              <w:sym w:font="Symbol" w:char="F0AF"/>
            </w:r>
          </w:p>
        </w:tc>
        <w:tc>
          <w:tcPr>
            <w:tcW w:w="2551" w:type="dxa"/>
          </w:tcPr>
          <w:p w14:paraId="705FEF73" w14:textId="77777777" w:rsidR="002C2590" w:rsidRDefault="002C2590" w:rsidP="00266E07">
            <w:pPr>
              <w:jc w:val="center"/>
              <w:rPr>
                <w:b/>
                <w:color w:val="004080"/>
                <w:lang w:bidi="x-none"/>
              </w:rPr>
            </w:pPr>
            <w:r>
              <w:rPr>
                <w:b/>
                <w:color w:val="004080"/>
                <w:lang w:bidi="x-none"/>
              </w:rPr>
              <w:t>2 gruppi di</w:t>
            </w:r>
          </w:p>
          <w:p w14:paraId="2B71F92D" w14:textId="77777777" w:rsidR="002C2590" w:rsidRDefault="002C2590" w:rsidP="00266E07">
            <w:pPr>
              <w:ind w:right="-257"/>
              <w:jc w:val="center"/>
              <w:rPr>
                <w:b/>
                <w:color w:val="004080"/>
                <w:lang w:bidi="x-none"/>
              </w:rPr>
            </w:pPr>
            <w:r>
              <w:rPr>
                <w:b/>
                <w:color w:val="004080"/>
                <w:lang w:bidi="x-none"/>
              </w:rPr>
              <w:t>soggetti diversi</w:t>
            </w:r>
          </w:p>
        </w:tc>
        <w:tc>
          <w:tcPr>
            <w:tcW w:w="2402" w:type="dxa"/>
          </w:tcPr>
          <w:p w14:paraId="4E710A7D" w14:textId="77777777" w:rsidR="002C2590" w:rsidRDefault="002C2590" w:rsidP="00266E07">
            <w:pPr>
              <w:jc w:val="center"/>
              <w:rPr>
                <w:b/>
                <w:color w:val="004080"/>
                <w:lang w:bidi="x-none"/>
              </w:rPr>
            </w:pPr>
            <w:r>
              <w:rPr>
                <w:b/>
                <w:color w:val="004080"/>
                <w:lang w:bidi="x-none"/>
              </w:rPr>
              <w:t>3 o più gruppi di</w:t>
            </w:r>
          </w:p>
          <w:p w14:paraId="61AC40C3" w14:textId="77777777" w:rsidR="002C2590" w:rsidRDefault="002C2590" w:rsidP="00266E07">
            <w:pPr>
              <w:jc w:val="center"/>
              <w:rPr>
                <w:b/>
                <w:color w:val="004080"/>
                <w:lang w:bidi="x-none"/>
              </w:rPr>
            </w:pPr>
            <w:r>
              <w:rPr>
                <w:b/>
                <w:color w:val="004080"/>
                <w:lang w:bidi="x-none"/>
              </w:rPr>
              <w:t>soggetti diversi</w:t>
            </w:r>
          </w:p>
        </w:tc>
        <w:tc>
          <w:tcPr>
            <w:tcW w:w="2268" w:type="dxa"/>
          </w:tcPr>
          <w:p w14:paraId="283D7380" w14:textId="77777777" w:rsidR="002C2590" w:rsidRDefault="002C2590" w:rsidP="00266E07">
            <w:pPr>
              <w:jc w:val="center"/>
              <w:rPr>
                <w:b/>
                <w:color w:val="FF00FF"/>
                <w:lang w:bidi="x-none"/>
              </w:rPr>
            </w:pPr>
            <w:r>
              <w:rPr>
                <w:b/>
                <w:color w:val="FF00FF"/>
                <w:lang w:bidi="x-none"/>
              </w:rPr>
              <w:t>Un trattamento</w:t>
            </w:r>
          </w:p>
          <w:p w14:paraId="5884B63D" w14:textId="77777777" w:rsidR="002C2590" w:rsidRDefault="002C2590" w:rsidP="00266E07">
            <w:pPr>
              <w:jc w:val="center"/>
              <w:rPr>
                <w:b/>
                <w:color w:val="FF00FF"/>
                <w:lang w:bidi="x-none"/>
              </w:rPr>
            </w:pPr>
            <w:r>
              <w:rPr>
                <w:b/>
                <w:color w:val="FF00FF"/>
                <w:lang w:bidi="x-none"/>
              </w:rPr>
              <w:t>sugli stessi soggetti</w:t>
            </w:r>
          </w:p>
        </w:tc>
        <w:tc>
          <w:tcPr>
            <w:tcW w:w="2268" w:type="dxa"/>
          </w:tcPr>
          <w:p w14:paraId="76501999" w14:textId="77777777" w:rsidR="002C2590" w:rsidRDefault="002C2590" w:rsidP="00266E07">
            <w:pPr>
              <w:jc w:val="center"/>
              <w:rPr>
                <w:b/>
                <w:color w:val="FF00FF"/>
                <w:lang w:bidi="x-none"/>
              </w:rPr>
            </w:pPr>
            <w:r>
              <w:rPr>
                <w:b/>
                <w:color w:val="FF00FF"/>
                <w:lang w:bidi="x-none"/>
              </w:rPr>
              <w:t>Più trattamenti</w:t>
            </w:r>
          </w:p>
          <w:p w14:paraId="79F301CF" w14:textId="77777777" w:rsidR="002C2590" w:rsidRDefault="002C2590" w:rsidP="00266E07">
            <w:pPr>
              <w:jc w:val="center"/>
              <w:rPr>
                <w:b/>
                <w:color w:val="FF00FF"/>
                <w:lang w:bidi="x-none"/>
              </w:rPr>
            </w:pPr>
            <w:r>
              <w:rPr>
                <w:b/>
                <w:color w:val="FF00FF"/>
                <w:lang w:bidi="x-none"/>
              </w:rPr>
              <w:t>sugli stessi soggetti</w:t>
            </w:r>
          </w:p>
        </w:tc>
        <w:tc>
          <w:tcPr>
            <w:tcW w:w="2551" w:type="dxa"/>
          </w:tcPr>
          <w:p w14:paraId="7A994C85" w14:textId="77777777" w:rsidR="002C2590" w:rsidRDefault="002C2590" w:rsidP="00266E07">
            <w:pPr>
              <w:jc w:val="center"/>
              <w:rPr>
                <w:b/>
                <w:i/>
                <w:u w:val="single"/>
                <w:lang w:bidi="x-none"/>
              </w:rPr>
            </w:pPr>
            <w:r>
              <w:rPr>
                <w:b/>
                <w:i/>
                <w:u w:val="single"/>
                <w:lang w:bidi="x-none"/>
              </w:rPr>
              <w:t>Associazione</w:t>
            </w:r>
          </w:p>
          <w:p w14:paraId="661980ED" w14:textId="77777777" w:rsidR="002C2590" w:rsidRDefault="002C2590" w:rsidP="00266E07">
            <w:pPr>
              <w:jc w:val="center"/>
              <w:rPr>
                <w:b/>
                <w:i/>
                <w:color w:val="FF6600"/>
                <w:lang w:bidi="x-none"/>
              </w:rPr>
            </w:pPr>
            <w:r>
              <w:rPr>
                <w:b/>
                <w:i/>
                <w:u w:val="single"/>
                <w:lang w:bidi="x-none"/>
              </w:rPr>
              <w:t xml:space="preserve">tra </w:t>
            </w:r>
            <w:r>
              <w:rPr>
                <w:b/>
                <w:i/>
                <w:color w:val="FF0000"/>
                <w:u w:val="single"/>
                <w:lang w:bidi="x-none"/>
              </w:rPr>
              <w:t>2</w:t>
            </w:r>
            <w:r>
              <w:rPr>
                <w:b/>
                <w:i/>
                <w:u w:val="single"/>
                <w:lang w:bidi="x-none"/>
              </w:rPr>
              <w:t xml:space="preserve"> variabili</w:t>
            </w:r>
          </w:p>
        </w:tc>
        <w:tc>
          <w:tcPr>
            <w:tcW w:w="1408" w:type="dxa"/>
          </w:tcPr>
          <w:p w14:paraId="7B73F29D" w14:textId="77777777" w:rsidR="002C2590" w:rsidRDefault="002C2590" w:rsidP="00266E07">
            <w:pPr>
              <w:rPr>
                <w:lang w:bidi="x-none"/>
              </w:rPr>
            </w:pPr>
          </w:p>
        </w:tc>
      </w:tr>
      <w:tr w:rsidR="002C2590" w14:paraId="1B80158F" w14:textId="77777777" w:rsidTr="00266E07">
        <w:tc>
          <w:tcPr>
            <w:tcW w:w="2943" w:type="dxa"/>
          </w:tcPr>
          <w:p w14:paraId="78A22848" w14:textId="77777777" w:rsidR="002C2590" w:rsidRDefault="002C2590" w:rsidP="00266E07">
            <w:pPr>
              <w:rPr>
                <w:b/>
                <w:color w:val="FF0000"/>
                <w:lang w:bidi="x-none"/>
              </w:rPr>
            </w:pPr>
            <w:r>
              <w:rPr>
                <w:b/>
                <w:color w:val="FF0000"/>
                <w:lang w:bidi="x-none"/>
              </w:rPr>
              <w:t>Variabile di intervallo</w:t>
            </w:r>
          </w:p>
          <w:p w14:paraId="7FF048FD" w14:textId="77777777" w:rsidR="002C2590" w:rsidRDefault="002C2590" w:rsidP="00266E07">
            <w:pPr>
              <w:rPr>
                <w:lang w:bidi="x-none"/>
              </w:rPr>
            </w:pPr>
            <w:r>
              <w:rPr>
                <w:lang w:bidi="x-none"/>
              </w:rPr>
              <w:t>(e distribuzione normale)</w:t>
            </w:r>
          </w:p>
        </w:tc>
        <w:tc>
          <w:tcPr>
            <w:tcW w:w="2551" w:type="dxa"/>
          </w:tcPr>
          <w:p w14:paraId="402D1569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 xml:space="preserve">Test </w:t>
            </w:r>
            <w:r>
              <w:rPr>
                <w:i/>
                <w:lang w:bidi="x-none"/>
              </w:rPr>
              <w:t>t</w:t>
            </w:r>
            <w:r>
              <w:rPr>
                <w:lang w:bidi="x-none"/>
              </w:rPr>
              <w:t xml:space="preserve"> per dati indipendenti (</w:t>
            </w:r>
            <w:r>
              <w:rPr>
                <w:i/>
                <w:lang w:bidi="x-none"/>
              </w:rPr>
              <w:t>unpaired</w:t>
            </w:r>
            <w:r>
              <w:rPr>
                <w:lang w:bidi="x-none"/>
              </w:rPr>
              <w:t>)</w:t>
            </w:r>
          </w:p>
        </w:tc>
        <w:tc>
          <w:tcPr>
            <w:tcW w:w="2402" w:type="dxa"/>
          </w:tcPr>
          <w:p w14:paraId="1C9B2E98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Analisi della varianza (ANOVA)</w:t>
            </w:r>
          </w:p>
        </w:tc>
        <w:tc>
          <w:tcPr>
            <w:tcW w:w="2268" w:type="dxa"/>
          </w:tcPr>
          <w:p w14:paraId="085741B5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 xml:space="preserve">Test </w:t>
            </w:r>
            <w:r>
              <w:rPr>
                <w:i/>
                <w:lang w:bidi="x-none"/>
              </w:rPr>
              <w:t>t</w:t>
            </w:r>
            <w:r>
              <w:rPr>
                <w:lang w:bidi="x-none"/>
              </w:rPr>
              <w:t xml:space="preserve"> per dati appaiati (</w:t>
            </w:r>
            <w:r>
              <w:rPr>
                <w:i/>
                <w:lang w:bidi="x-none"/>
              </w:rPr>
              <w:t>paired</w:t>
            </w:r>
            <w:r>
              <w:rPr>
                <w:lang w:bidi="x-none"/>
              </w:rPr>
              <w:t>)</w:t>
            </w:r>
          </w:p>
        </w:tc>
        <w:tc>
          <w:tcPr>
            <w:tcW w:w="2268" w:type="dxa"/>
          </w:tcPr>
          <w:p w14:paraId="168070FB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ANOVA</w:t>
            </w:r>
          </w:p>
          <w:p w14:paraId="587B17D0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per misure ripetute</w:t>
            </w:r>
          </w:p>
        </w:tc>
        <w:tc>
          <w:tcPr>
            <w:tcW w:w="2551" w:type="dxa"/>
          </w:tcPr>
          <w:p w14:paraId="054D5D1C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Regressione lineare e correlazione di Pearson</w:t>
            </w:r>
          </w:p>
        </w:tc>
        <w:tc>
          <w:tcPr>
            <w:tcW w:w="1408" w:type="dxa"/>
          </w:tcPr>
          <w:p w14:paraId="03F9A6C9" w14:textId="77777777" w:rsidR="002C2590" w:rsidRDefault="002C2590" w:rsidP="00266E07">
            <w:pPr>
              <w:jc w:val="center"/>
              <w:rPr>
                <w:lang w:bidi="x-none"/>
              </w:rPr>
            </w:pPr>
          </w:p>
        </w:tc>
      </w:tr>
      <w:tr w:rsidR="002C2590" w14:paraId="79FCDBF4" w14:textId="77777777" w:rsidTr="00266E07">
        <w:tc>
          <w:tcPr>
            <w:tcW w:w="2943" w:type="dxa"/>
          </w:tcPr>
          <w:p w14:paraId="1BC7CCB1" w14:textId="77777777" w:rsidR="002C2590" w:rsidRDefault="002C2590" w:rsidP="00266E07">
            <w:pPr>
              <w:rPr>
                <w:b/>
                <w:color w:val="008000"/>
                <w:lang w:bidi="x-none"/>
              </w:rPr>
            </w:pPr>
            <w:r>
              <w:rPr>
                <w:b/>
                <w:color w:val="008000"/>
                <w:lang w:bidi="x-none"/>
              </w:rPr>
              <w:t>Variabile nominale</w:t>
            </w:r>
          </w:p>
          <w:p w14:paraId="5B046F8D" w14:textId="77777777" w:rsidR="002C2590" w:rsidRDefault="002C2590" w:rsidP="00266E07">
            <w:pPr>
              <w:rPr>
                <w:lang w:bidi="x-none"/>
              </w:rPr>
            </w:pPr>
          </w:p>
        </w:tc>
        <w:tc>
          <w:tcPr>
            <w:tcW w:w="2551" w:type="dxa"/>
          </w:tcPr>
          <w:p w14:paraId="5438587A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rFonts w:ascii="Symbol" w:hAnsi="Symbol"/>
                <w:lang w:bidi="x-none"/>
              </w:rPr>
              <w:t></w:t>
            </w:r>
            <w:r>
              <w:rPr>
                <w:vertAlign w:val="superscript"/>
                <w:lang w:bidi="x-none"/>
              </w:rPr>
              <w:t>2</w:t>
            </w:r>
            <w:r>
              <w:rPr>
                <w:lang w:bidi="x-none"/>
              </w:rPr>
              <w:t xml:space="preserve"> (chi quadro)</w:t>
            </w:r>
          </w:p>
          <w:p w14:paraId="10A71B83" w14:textId="77777777" w:rsidR="00970669" w:rsidRPr="00943DF9" w:rsidRDefault="00970669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Test esatto di Fisher</w:t>
            </w:r>
          </w:p>
        </w:tc>
        <w:tc>
          <w:tcPr>
            <w:tcW w:w="2402" w:type="dxa"/>
          </w:tcPr>
          <w:p w14:paraId="75D7263C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rFonts w:ascii="Symbol" w:hAnsi="Symbol"/>
                <w:lang w:bidi="x-none"/>
              </w:rPr>
              <w:t></w:t>
            </w:r>
            <w:r>
              <w:rPr>
                <w:vertAlign w:val="superscript"/>
                <w:lang w:bidi="x-none"/>
              </w:rPr>
              <w:t>2</w:t>
            </w:r>
            <w:r>
              <w:rPr>
                <w:lang w:bidi="x-none"/>
              </w:rPr>
              <w:t xml:space="preserve"> (chi quadro)</w:t>
            </w:r>
          </w:p>
        </w:tc>
        <w:tc>
          <w:tcPr>
            <w:tcW w:w="2268" w:type="dxa"/>
          </w:tcPr>
          <w:p w14:paraId="59E2CE19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Test di McNemar</w:t>
            </w:r>
          </w:p>
        </w:tc>
        <w:tc>
          <w:tcPr>
            <w:tcW w:w="2268" w:type="dxa"/>
          </w:tcPr>
          <w:p w14:paraId="6D096A20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 xml:space="preserve">Test </w:t>
            </w:r>
            <w:r>
              <w:rPr>
                <w:i/>
                <w:lang w:bidi="x-none"/>
              </w:rPr>
              <w:t>Q</w:t>
            </w:r>
            <w:r>
              <w:rPr>
                <w:lang w:bidi="x-none"/>
              </w:rPr>
              <w:t xml:space="preserve"> di Cochrane</w:t>
            </w:r>
          </w:p>
        </w:tc>
        <w:tc>
          <w:tcPr>
            <w:tcW w:w="2551" w:type="dxa"/>
          </w:tcPr>
          <w:p w14:paraId="1D392DAF" w14:textId="77777777" w:rsidR="002C2590" w:rsidRDefault="002C2590" w:rsidP="00266E07">
            <w:pPr>
              <w:rPr>
                <w:lang w:bidi="x-none"/>
              </w:rPr>
            </w:pPr>
            <w:r>
              <w:rPr>
                <w:lang w:bidi="x-none"/>
              </w:rPr>
              <w:t>-Rischio relativo (RR)</w:t>
            </w:r>
          </w:p>
          <w:p w14:paraId="359A6752" w14:textId="77777777" w:rsidR="002C2590" w:rsidRDefault="002C2590" w:rsidP="00266E07">
            <w:pPr>
              <w:rPr>
                <w:lang w:bidi="x-none"/>
              </w:rPr>
            </w:pPr>
            <w:r>
              <w:rPr>
                <w:lang w:bidi="x-none"/>
              </w:rPr>
              <w:t>-</w:t>
            </w:r>
            <w:r>
              <w:rPr>
                <w:i/>
                <w:lang w:bidi="x-none"/>
              </w:rPr>
              <w:t>Odds ratio</w:t>
            </w:r>
            <w:r>
              <w:rPr>
                <w:lang w:bidi="x-none"/>
              </w:rPr>
              <w:t xml:space="preserve"> (OR)</w:t>
            </w:r>
          </w:p>
        </w:tc>
        <w:tc>
          <w:tcPr>
            <w:tcW w:w="1408" w:type="dxa"/>
          </w:tcPr>
          <w:p w14:paraId="7F7A78F8" w14:textId="77777777" w:rsidR="002C2590" w:rsidRDefault="002C2590" w:rsidP="00266E07">
            <w:pPr>
              <w:rPr>
                <w:lang w:bidi="x-none"/>
              </w:rPr>
            </w:pPr>
            <w:r>
              <w:rPr>
                <w:lang w:bidi="x-none"/>
              </w:rPr>
              <w:t>(Prospettico)</w:t>
            </w:r>
          </w:p>
          <w:p w14:paraId="187FCD8A" w14:textId="77777777" w:rsidR="002C2590" w:rsidRDefault="002C2590" w:rsidP="00266E07">
            <w:pPr>
              <w:rPr>
                <w:lang w:bidi="x-none"/>
              </w:rPr>
            </w:pPr>
            <w:r>
              <w:rPr>
                <w:lang w:bidi="x-none"/>
              </w:rPr>
              <w:t>(Retrospettivo)</w:t>
            </w:r>
          </w:p>
        </w:tc>
      </w:tr>
      <w:tr w:rsidR="002C2590" w14:paraId="78CE9217" w14:textId="77777777" w:rsidTr="00266E07">
        <w:tc>
          <w:tcPr>
            <w:tcW w:w="2943" w:type="dxa"/>
          </w:tcPr>
          <w:p w14:paraId="748F2203" w14:textId="77777777" w:rsidR="002C2590" w:rsidRDefault="002C2590" w:rsidP="00266E07">
            <w:pPr>
              <w:rPr>
                <w:b/>
                <w:color w:val="0000FF"/>
                <w:lang w:bidi="x-none"/>
              </w:rPr>
            </w:pPr>
            <w:r>
              <w:rPr>
                <w:b/>
                <w:color w:val="0000FF"/>
                <w:lang w:bidi="x-none"/>
              </w:rPr>
              <w:t>Variabile ordinale</w:t>
            </w:r>
          </w:p>
        </w:tc>
        <w:tc>
          <w:tcPr>
            <w:tcW w:w="2551" w:type="dxa"/>
          </w:tcPr>
          <w:p w14:paraId="3218CF64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Test di</w:t>
            </w:r>
          </w:p>
          <w:p w14:paraId="7CD9045E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Mann-Whitney</w:t>
            </w:r>
          </w:p>
        </w:tc>
        <w:tc>
          <w:tcPr>
            <w:tcW w:w="2402" w:type="dxa"/>
          </w:tcPr>
          <w:p w14:paraId="2C899092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Test di</w:t>
            </w:r>
          </w:p>
          <w:p w14:paraId="347C05C9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Kruskal-Wallis</w:t>
            </w:r>
          </w:p>
        </w:tc>
        <w:tc>
          <w:tcPr>
            <w:tcW w:w="2268" w:type="dxa"/>
          </w:tcPr>
          <w:p w14:paraId="14F6B435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Test di</w:t>
            </w:r>
          </w:p>
          <w:p w14:paraId="576C13F8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Wilcoxon</w:t>
            </w:r>
          </w:p>
        </w:tc>
        <w:tc>
          <w:tcPr>
            <w:tcW w:w="2268" w:type="dxa"/>
          </w:tcPr>
          <w:p w14:paraId="6846EC34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Test di</w:t>
            </w:r>
          </w:p>
          <w:p w14:paraId="03E0824D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Friedman</w:t>
            </w:r>
          </w:p>
        </w:tc>
        <w:tc>
          <w:tcPr>
            <w:tcW w:w="2551" w:type="dxa"/>
          </w:tcPr>
          <w:p w14:paraId="56F37DAB" w14:textId="77777777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Correlazione dei ranghi di Spearman</w:t>
            </w:r>
          </w:p>
        </w:tc>
        <w:tc>
          <w:tcPr>
            <w:tcW w:w="1408" w:type="dxa"/>
          </w:tcPr>
          <w:p w14:paraId="5628DDB7" w14:textId="77777777" w:rsidR="002C2590" w:rsidRDefault="002C2590" w:rsidP="00266E07">
            <w:pPr>
              <w:jc w:val="center"/>
              <w:rPr>
                <w:lang w:bidi="x-none"/>
              </w:rPr>
            </w:pPr>
          </w:p>
        </w:tc>
      </w:tr>
    </w:tbl>
    <w:p w14:paraId="27C769AD" w14:textId="50CC22CC" w:rsidR="002C2590" w:rsidRDefault="002C2590" w:rsidP="002C2590">
      <w:r>
        <w:rPr>
          <w:b/>
        </w:rPr>
        <w:t xml:space="preserve">Fonti </w:t>
      </w:r>
      <w:r>
        <w:t xml:space="preserve">(sito del corso: </w:t>
      </w:r>
      <w:hyperlink r:id="rId4" w:history="1">
        <w:r w:rsidR="00374FFA" w:rsidRPr="00374FFA">
          <w:rPr>
            <w:rStyle w:val="Collegamentoipertestuale"/>
          </w:rPr>
          <w:t>http://apollo11.isto.unibo.it/summa/it/metodo/stat.htm</w:t>
        </w:r>
      </w:hyperlink>
      <w:r>
        <w:t>)</w:t>
      </w:r>
    </w:p>
    <w:p w14:paraId="6023091F" w14:textId="77777777" w:rsidR="0057300D" w:rsidRDefault="0057300D" w:rsidP="0057300D">
      <w:pPr>
        <w:rPr>
          <w:lang w:val="en-US"/>
        </w:rPr>
      </w:pPr>
      <w:r w:rsidRPr="00FB618A">
        <w:rPr>
          <w:lang w:val="en-US"/>
        </w:rPr>
        <w:t xml:space="preserve">Glantz SA. </w:t>
      </w:r>
      <w:r w:rsidRPr="00D10655">
        <w:rPr>
          <w:i/>
          <w:lang w:val="en-US"/>
        </w:rPr>
        <w:t>Primer of Biostatistics</w:t>
      </w:r>
      <w:r w:rsidRPr="00D10655">
        <w:rPr>
          <w:lang w:val="en-US"/>
        </w:rPr>
        <w:t xml:space="preserve">. </w:t>
      </w:r>
      <w:r w:rsidRPr="00601328">
        <w:rPr>
          <w:lang w:val="en-US"/>
        </w:rPr>
        <w:t>McGraw-Hill, 20</w:t>
      </w:r>
      <w:r>
        <w:rPr>
          <w:lang w:val="en-US"/>
        </w:rPr>
        <w:t>12</w:t>
      </w:r>
      <w:r w:rsidRPr="00601328">
        <w:rPr>
          <w:lang w:val="en-US"/>
        </w:rPr>
        <w:t xml:space="preserve"> (</w:t>
      </w:r>
      <w:r>
        <w:rPr>
          <w:lang w:val="en-US"/>
        </w:rPr>
        <w:t>7</w:t>
      </w:r>
      <w:r>
        <w:rPr>
          <w:vertAlign w:val="superscript"/>
          <w:lang w:val="en-US"/>
        </w:rPr>
        <w:t>th</w:t>
      </w:r>
      <w:r w:rsidRPr="00601328">
        <w:rPr>
          <w:lang w:val="en-US"/>
        </w:rPr>
        <w:t xml:space="preserve"> Ed).</w:t>
      </w:r>
      <w:r w:rsidRPr="00601328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01328">
        <w:rPr>
          <w:lang w:val="en-US"/>
        </w:rPr>
        <w:t xml:space="preserve">Norman GR, Streiner DL. </w:t>
      </w:r>
      <w:r w:rsidRPr="00FB618A">
        <w:rPr>
          <w:i/>
          <w:lang w:val="en-US"/>
        </w:rPr>
        <w:t>Biostatistics: The Bare Essentials</w:t>
      </w:r>
      <w:r>
        <w:rPr>
          <w:iCs/>
          <w:lang w:val="en-US"/>
        </w:rPr>
        <w:t>.</w:t>
      </w:r>
      <w:r w:rsidRPr="00D10655">
        <w:rPr>
          <w:lang w:val="en-US"/>
        </w:rPr>
        <w:t xml:space="preserve"> Pmph USA</w:t>
      </w:r>
      <w:r>
        <w:rPr>
          <w:lang w:val="en-US"/>
        </w:rPr>
        <w:t xml:space="preserve">, 2014 </w:t>
      </w:r>
      <w:r w:rsidRPr="00601328">
        <w:rPr>
          <w:lang w:val="en-US"/>
        </w:rPr>
        <w:t>(</w:t>
      </w:r>
      <w:r>
        <w:rPr>
          <w:lang w:val="en-US"/>
        </w:rPr>
        <w:t>4</w:t>
      </w:r>
      <w:r>
        <w:rPr>
          <w:vertAlign w:val="superscript"/>
          <w:lang w:val="en-US"/>
        </w:rPr>
        <w:t>th</w:t>
      </w:r>
      <w:r w:rsidRPr="00601328">
        <w:rPr>
          <w:lang w:val="en-US"/>
        </w:rPr>
        <w:t xml:space="preserve"> Ed)</w:t>
      </w:r>
      <w:r w:rsidRPr="00D10655">
        <w:rPr>
          <w:lang w:val="en-US"/>
        </w:rPr>
        <w:t>.</w:t>
      </w:r>
    </w:p>
    <w:p w14:paraId="04CE8F94" w14:textId="19616BA3" w:rsidR="00C010A5" w:rsidRDefault="0057300D" w:rsidP="0057300D">
      <w:r>
        <w:t xml:space="preserve">Glantz SA. </w:t>
      </w:r>
      <w:r>
        <w:rPr>
          <w:i/>
        </w:rPr>
        <w:t>Statistica per discipline biomediche</w:t>
      </w:r>
      <w:r>
        <w:t xml:space="preserve">. </w:t>
      </w:r>
      <w:r w:rsidRPr="00113FD1">
        <w:rPr>
          <w:lang w:val="en-US"/>
        </w:rPr>
        <w:t>McGraw-Hill, 2007 (6</w:t>
      </w:r>
      <w:r w:rsidRPr="00113FD1">
        <w:rPr>
          <w:vertAlign w:val="superscript"/>
          <w:lang w:val="en-US"/>
        </w:rPr>
        <w:t>a</w:t>
      </w:r>
      <w:r w:rsidRPr="00113FD1">
        <w:rPr>
          <w:lang w:val="en-US"/>
        </w:rPr>
        <w:t xml:space="preserve"> Ed).</w:t>
      </w:r>
      <w:r w:rsidRPr="00113FD1">
        <w:rPr>
          <w:lang w:val="en-US"/>
        </w:rPr>
        <w:tab/>
        <w:t xml:space="preserve">Norman GR, Streiner DL. </w:t>
      </w:r>
      <w:r>
        <w:rPr>
          <w:i/>
        </w:rPr>
        <w:t>Biostatistica. Quello che avreste voluto sapere...</w:t>
      </w:r>
      <w:r>
        <w:t xml:space="preserve"> CEA, 2015.</w:t>
      </w:r>
    </w:p>
    <w:sectPr w:rsidR="00C010A5" w:rsidSect="003B4ED8">
      <w:pgSz w:w="20040" w:h="14160"/>
      <w:pgMar w:top="1134" w:right="1134" w:bottom="1134" w:left="1134" w:header="709" w:footer="709" w:gutter="0"/>
      <w:cols w:space="709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2590"/>
    <w:rsid w:val="00036B07"/>
    <w:rsid w:val="00077949"/>
    <w:rsid w:val="000903E2"/>
    <w:rsid w:val="001F711F"/>
    <w:rsid w:val="00230411"/>
    <w:rsid w:val="002C2590"/>
    <w:rsid w:val="00374FFA"/>
    <w:rsid w:val="00376493"/>
    <w:rsid w:val="003B4ED8"/>
    <w:rsid w:val="0057300D"/>
    <w:rsid w:val="00784574"/>
    <w:rsid w:val="007D283C"/>
    <w:rsid w:val="008714CC"/>
    <w:rsid w:val="00970669"/>
    <w:rsid w:val="00BF16A0"/>
    <w:rsid w:val="00C010A5"/>
    <w:rsid w:val="00C90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;"/>
  <w14:docId w14:val="1BA6D7AA"/>
  <w15:docId w15:val="{4113CBA4-773F-1547-8080-1A67AB03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83C"/>
    <w:pPr>
      <w:jc w:val="both"/>
    </w:pPr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C2590"/>
    <w:pPr>
      <w:tabs>
        <w:tab w:val="center" w:pos="4153"/>
        <w:tab w:val="right" w:pos="8306"/>
      </w:tabs>
      <w:jc w:val="left"/>
    </w:pPr>
    <w:rPr>
      <w:rFonts w:eastAsia="Times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2C2590"/>
    <w:rPr>
      <w:rFonts w:eastAsia="Times"/>
      <w:sz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F711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F71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pollo11.isto.unibo.it/summa/it/metodo/stat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1568</Words>
  <Characters>3216</Characters>
  <Application>Microsoft Office Word</Application>
  <DocSecurity>0</DocSecurity>
  <Lines>1608</Lines>
  <Paragraphs>1594</Paragraphs>
  <ScaleCrop>false</ScaleCrop>
  <Company>Alma Mater Studiorum - Università di Bologna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Pierluigi Strippoli</cp:lastModifiedBy>
  <cp:revision>6</cp:revision>
  <cp:lastPrinted>2021-12-20T23:32:00Z</cp:lastPrinted>
  <dcterms:created xsi:type="dcterms:W3CDTF">2019-12-03T11:40:00Z</dcterms:created>
  <dcterms:modified xsi:type="dcterms:W3CDTF">2021-12-21T01:12:00Z</dcterms:modified>
</cp:coreProperties>
</file>